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818" w:rsidRDefault="00F42818">
      <w:pPr>
        <w:pStyle w:val="ConsPlusNormal"/>
        <w:jc w:val="right"/>
        <w:outlineLvl w:val="0"/>
      </w:pPr>
      <w:r>
        <w:t>Приложение N 28</w:t>
      </w:r>
    </w:p>
    <w:p w:rsidR="00F42818" w:rsidRDefault="00F42818">
      <w:pPr>
        <w:pStyle w:val="ConsPlusNormal"/>
        <w:jc w:val="right"/>
      </w:pPr>
      <w:r>
        <w:t>к Программе</w:t>
      </w:r>
    </w:p>
    <w:p w:rsidR="00F42818" w:rsidRDefault="00F42818">
      <w:pPr>
        <w:pStyle w:val="ConsPlusNormal"/>
        <w:jc w:val="both"/>
      </w:pPr>
    </w:p>
    <w:p w:rsidR="00F42818" w:rsidRDefault="00F42818">
      <w:pPr>
        <w:pStyle w:val="ConsPlusTitle"/>
        <w:jc w:val="center"/>
      </w:pPr>
      <w:r>
        <w:t>ПРАВИЛА</w:t>
      </w:r>
    </w:p>
    <w:p w:rsidR="00F42818" w:rsidRDefault="00F42818">
      <w:pPr>
        <w:pStyle w:val="ConsPlusTitle"/>
        <w:jc w:val="center"/>
      </w:pPr>
      <w:r>
        <w:t xml:space="preserve">ПРЕДОСТАВЛЕНИЯ ИНЫХ МЕЖБЮДЖЕТНЫХ ТРАНСФЕРТОВ </w:t>
      </w:r>
      <w:proofErr w:type="gramStart"/>
      <w:r>
        <w:t>ИЗ</w:t>
      </w:r>
      <w:proofErr w:type="gramEnd"/>
      <w:r>
        <w:t xml:space="preserve"> ОБЛАСТНОГО</w:t>
      </w:r>
    </w:p>
    <w:p w:rsidR="00F42818" w:rsidRDefault="00F42818">
      <w:pPr>
        <w:pStyle w:val="ConsPlusTitle"/>
        <w:jc w:val="center"/>
      </w:pPr>
      <w:r>
        <w:t xml:space="preserve">БЮДЖЕТА БЮДЖЕТАМ МУНИЦИПАЛЬНЫХ ОБРАЗОВАНИЙ </w:t>
      </w:r>
      <w:proofErr w:type="gramStart"/>
      <w:r>
        <w:t>МУРМАНСКОЙ</w:t>
      </w:r>
      <w:proofErr w:type="gramEnd"/>
    </w:p>
    <w:p w:rsidR="00F42818" w:rsidRDefault="00F42818">
      <w:pPr>
        <w:pStyle w:val="ConsPlusTitle"/>
        <w:jc w:val="center"/>
      </w:pPr>
      <w:r>
        <w:t>ОБЛАСТИ В ЦЕЛЯХ ВОЗМЕЩЕНИЯ РАСХОДОВ НА РЕАЛИЗАЦИЮ</w:t>
      </w:r>
    </w:p>
    <w:p w:rsidR="00F42818" w:rsidRDefault="00F42818">
      <w:pPr>
        <w:pStyle w:val="ConsPlusTitle"/>
        <w:jc w:val="center"/>
      </w:pPr>
      <w:r>
        <w:t xml:space="preserve">МЕРОПРИЯТИЙ ПО ПОДДЕРЖКЕ </w:t>
      </w:r>
      <w:proofErr w:type="gramStart"/>
      <w:r>
        <w:t>КВН-ДВИЖЕНИЯ</w:t>
      </w:r>
      <w:proofErr w:type="gramEnd"/>
      <w:r>
        <w:t xml:space="preserve"> МУРМАНСКОЙ ОБЛАСТИ</w:t>
      </w:r>
    </w:p>
    <w:p w:rsidR="00F42818" w:rsidRDefault="00F4281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4281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42818" w:rsidRDefault="00F4281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42818" w:rsidRDefault="00F4281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42818" w:rsidRDefault="00F42818">
            <w:pPr>
              <w:pStyle w:val="ConsPlusNormal"/>
              <w:jc w:val="center"/>
            </w:pPr>
            <w:r>
              <w:rPr>
                <w:color w:val="392C69"/>
              </w:rPr>
              <w:t>Список изменяющих документов</w:t>
            </w:r>
          </w:p>
          <w:p w:rsidR="00F42818" w:rsidRDefault="00F42818">
            <w:pPr>
              <w:pStyle w:val="ConsPlusNormal"/>
              <w:jc w:val="center"/>
            </w:pPr>
            <w:proofErr w:type="gramStart"/>
            <w:r>
              <w:rPr>
                <w:color w:val="392C69"/>
              </w:rPr>
              <w:t xml:space="preserve">(введены </w:t>
            </w:r>
            <w:hyperlink r:id="rId5">
              <w:r>
                <w:rPr>
                  <w:color w:val="0000FF"/>
                </w:rPr>
                <w:t>постановлением</w:t>
              </w:r>
            </w:hyperlink>
            <w:r>
              <w:rPr>
                <w:color w:val="392C69"/>
              </w:rPr>
              <w:t xml:space="preserve"> Правительства Мурманской области</w:t>
            </w:r>
            <w:proofErr w:type="gramEnd"/>
          </w:p>
          <w:p w:rsidR="00F42818" w:rsidRDefault="00F42818">
            <w:pPr>
              <w:pStyle w:val="ConsPlusNormal"/>
              <w:jc w:val="center"/>
            </w:pPr>
            <w:r>
              <w:rPr>
                <w:color w:val="392C69"/>
              </w:rPr>
              <w:t>от 24.04.2023 N 303-ПП)</w:t>
            </w:r>
          </w:p>
        </w:tc>
        <w:tc>
          <w:tcPr>
            <w:tcW w:w="113" w:type="dxa"/>
            <w:tcBorders>
              <w:top w:val="nil"/>
              <w:left w:val="nil"/>
              <w:bottom w:val="nil"/>
              <w:right w:val="nil"/>
            </w:tcBorders>
            <w:shd w:val="clear" w:color="auto" w:fill="F4F3F8"/>
            <w:tcMar>
              <w:top w:w="0" w:type="dxa"/>
              <w:left w:w="0" w:type="dxa"/>
              <w:bottom w:w="0" w:type="dxa"/>
              <w:right w:w="0" w:type="dxa"/>
            </w:tcMar>
          </w:tcPr>
          <w:p w:rsidR="00F42818" w:rsidRDefault="00F42818">
            <w:pPr>
              <w:pStyle w:val="ConsPlusNormal"/>
            </w:pPr>
          </w:p>
        </w:tc>
      </w:tr>
    </w:tbl>
    <w:p w:rsidR="00F42818" w:rsidRDefault="00F42818">
      <w:pPr>
        <w:pStyle w:val="ConsPlusNormal"/>
        <w:jc w:val="both"/>
      </w:pPr>
    </w:p>
    <w:p w:rsidR="00F42818" w:rsidRDefault="00F42818">
      <w:pPr>
        <w:pStyle w:val="ConsPlusNormal"/>
        <w:ind w:firstLine="540"/>
        <w:jc w:val="both"/>
      </w:pPr>
      <w:bookmarkStart w:id="0" w:name="P12"/>
      <w:bookmarkEnd w:id="0"/>
      <w:r>
        <w:t xml:space="preserve">1. </w:t>
      </w:r>
      <w:proofErr w:type="gramStart"/>
      <w:r>
        <w:t>Настоящие Правила определяют порядок, условия предоставления в 2023 году из областного бюджета бюджетам муниципальных образований Мурманской области иных межбюджетных трансфертов, источником финансового обеспечения которых являются бюджетные ассигнования областного бюджета Мурманской области, в целях возмещения понесенных бюджетами муниципальных образований Мурманской области расходов на обеспечение участия представителей Мурманской области, являющихся участниками команд Мурманской лиги КВН, в телевизионных, центральных и межрегиональных лигах КВН</w:t>
      </w:r>
      <w:proofErr w:type="gramEnd"/>
      <w:r>
        <w:t xml:space="preserve">, а также расходов на организацию и проведение мероприятий по поддержке </w:t>
      </w:r>
      <w:proofErr w:type="gramStart"/>
      <w:r>
        <w:t>КВН-движения</w:t>
      </w:r>
      <w:proofErr w:type="gramEnd"/>
      <w:r>
        <w:t xml:space="preserve"> Мурманской области (далее - иные межбюджетные трансферты).</w:t>
      </w:r>
    </w:p>
    <w:p w:rsidR="00F42818" w:rsidRDefault="00F42818">
      <w:pPr>
        <w:pStyle w:val="ConsPlusNormal"/>
        <w:spacing w:before="220"/>
        <w:ind w:firstLine="540"/>
        <w:jc w:val="both"/>
      </w:pPr>
      <w:r>
        <w:t xml:space="preserve">2. </w:t>
      </w:r>
      <w:proofErr w:type="gramStart"/>
      <w:r>
        <w:t xml:space="preserve">Иные межбюджетные трансферты предоставляются Комитетом молодежной политики Мурманской области (далее - Комитет) в соответствии со сводной бюджетной росписью областного бюджета на соответствующий финансовый год в пределах лимитов бюджетных обязательств, утвержденных в установленном порядке Комитету как получателю бюджетных средств, в рамках основного мероприятия "Осуществление комплекса мер, направленных на поддержку молодежных инициатив" </w:t>
      </w:r>
      <w:hyperlink r:id="rId6">
        <w:r>
          <w:rPr>
            <w:color w:val="0000FF"/>
          </w:rPr>
          <w:t>подпрограммы</w:t>
        </w:r>
      </w:hyperlink>
      <w:r>
        <w:t xml:space="preserve"> "Укрепление единства российской нации, развитие гражданского общества и сохранение этнокультурного</w:t>
      </w:r>
      <w:proofErr w:type="gramEnd"/>
      <w:r>
        <w:t xml:space="preserve"> многообразия в Мурманской области" государственной программы Мурманской области "Государственное управление и гражданское общество", утвержденной постановлением Правительства Мурманской области от 11.11.2020 N 793-ПП, предусмотренных на цели, указанные в </w:t>
      </w:r>
      <w:hyperlink w:anchor="P12">
        <w:r>
          <w:rPr>
            <w:color w:val="0000FF"/>
          </w:rPr>
          <w:t>пункте 1</w:t>
        </w:r>
      </w:hyperlink>
      <w:r>
        <w:t xml:space="preserve"> настоящих Правил.</w:t>
      </w:r>
    </w:p>
    <w:p w:rsidR="00F42818" w:rsidRDefault="00F42818">
      <w:pPr>
        <w:pStyle w:val="ConsPlusNormal"/>
        <w:spacing w:before="220"/>
        <w:ind w:firstLine="540"/>
        <w:jc w:val="both"/>
      </w:pPr>
      <w:r>
        <w:t xml:space="preserve">3. Иные межбюджетные трансферты, предоставленные бюджетам муниципальных образований Мурманской области, направляются на возмещение </w:t>
      </w:r>
      <w:proofErr w:type="gramStart"/>
      <w:r>
        <w:t>расходов</w:t>
      </w:r>
      <w:proofErr w:type="gramEnd"/>
      <w:r>
        <w:t xml:space="preserve"> на обеспечение участия представителей Мурманской области, являющихся участниками команд Мурманской лиги КВН, в телевизионных, центральных и межрегиональных лигах КВН, а также расходов на организацию и проведение мероприятий по поддержке КВН-движения Мурманской области.</w:t>
      </w:r>
    </w:p>
    <w:p w:rsidR="00F42818" w:rsidRDefault="00F42818">
      <w:pPr>
        <w:pStyle w:val="ConsPlusNormal"/>
        <w:spacing w:before="220"/>
        <w:ind w:firstLine="540"/>
        <w:jc w:val="both"/>
      </w:pPr>
      <w:r>
        <w:t xml:space="preserve">4. </w:t>
      </w:r>
      <w:proofErr w:type="gramStart"/>
      <w:r>
        <w:t>Критерием отбора муниципальных образований Мурманской области для предоставления иного межбюджетного трансферта является наличие расходов бюджета муниципального образования Мурманской области на обеспечение участия представителей Мурманской области, являющихся участниками команд Мурманской лиги КВН, в телевизионных, центральных и межрегиональных лигах КВН, а также расходов на организацию и проведение мероприятий по поддержке КВН-движения Мурманской области.</w:t>
      </w:r>
      <w:proofErr w:type="gramEnd"/>
    </w:p>
    <w:p w:rsidR="00F42818" w:rsidRDefault="00F42818">
      <w:pPr>
        <w:pStyle w:val="ConsPlusNormal"/>
        <w:spacing w:before="220"/>
        <w:ind w:firstLine="540"/>
        <w:jc w:val="both"/>
      </w:pPr>
      <w:r>
        <w:t>5. Условиями предоставления иного межбюджетного трансферта являются представленные органами местного самоуправления муниципальных образований Мурманской области в Комитет:</w:t>
      </w:r>
    </w:p>
    <w:p w:rsidR="00F42818" w:rsidRDefault="00F42818">
      <w:pPr>
        <w:pStyle w:val="ConsPlusNormal"/>
        <w:spacing w:before="220"/>
        <w:ind w:firstLine="540"/>
        <w:jc w:val="both"/>
      </w:pPr>
      <w:r>
        <w:t xml:space="preserve">а) обращение </w:t>
      </w:r>
      <w:proofErr w:type="gramStart"/>
      <w:r>
        <w:t>руководителя органа местного самоуправления муниципального образования Мурманской области</w:t>
      </w:r>
      <w:proofErr w:type="gramEnd"/>
      <w:r>
        <w:t xml:space="preserve"> о предоставлении иного межбюджетного трансферта;</w:t>
      </w:r>
    </w:p>
    <w:p w:rsidR="00F42818" w:rsidRDefault="00F42818">
      <w:pPr>
        <w:pStyle w:val="ConsPlusNormal"/>
        <w:spacing w:before="220"/>
        <w:ind w:firstLine="540"/>
        <w:jc w:val="both"/>
      </w:pPr>
      <w:r>
        <w:lastRenderedPageBreak/>
        <w:t xml:space="preserve">б) перечень расходов на обеспечение участия представителей Мурманской области, являющихся участниками команд Мурманской лиги КВН, в телевизионных, центральных и межрегиональных лигах КВН, а также расходов на организацию и проведение мероприятий по поддержке </w:t>
      </w:r>
      <w:proofErr w:type="gramStart"/>
      <w:r>
        <w:t>КВН-движения</w:t>
      </w:r>
      <w:proofErr w:type="gramEnd"/>
      <w:r>
        <w:t xml:space="preserve"> Мурманской области;</w:t>
      </w:r>
    </w:p>
    <w:p w:rsidR="00F42818" w:rsidRDefault="00F42818">
      <w:pPr>
        <w:pStyle w:val="ConsPlusNormal"/>
        <w:spacing w:before="220"/>
        <w:ind w:firstLine="540"/>
        <w:jc w:val="both"/>
      </w:pPr>
      <w:proofErr w:type="gramStart"/>
      <w:r>
        <w:t>в) копии первичных документов, подтверждающих фактически произведенные расходы на оказание услуг по обеспечению участия представителей Мурманской области, являющихся участниками команд Мурманской лиги КВН, в телевизионных, центральных и межрегиональных лигах КВН, а также расходы на организацию и проведение мероприятий по поддержке КВН-движения Мурманской области (счета, счета-фактуры, акты выполненных работ, платежные поручения и т.п.).</w:t>
      </w:r>
      <w:proofErr w:type="gramEnd"/>
    </w:p>
    <w:p w:rsidR="00F42818" w:rsidRDefault="00F42818">
      <w:pPr>
        <w:pStyle w:val="ConsPlusNormal"/>
        <w:spacing w:before="220"/>
        <w:ind w:firstLine="540"/>
        <w:jc w:val="both"/>
      </w:pPr>
      <w:r>
        <w:t>6. Размер иного межбюджетного трансферта, предоставляемого бюджету муниципального образования (S), рассчитывается по формуле:</w:t>
      </w:r>
    </w:p>
    <w:p w:rsidR="00F42818" w:rsidRDefault="00F42818">
      <w:pPr>
        <w:pStyle w:val="ConsPlusNormal"/>
        <w:jc w:val="both"/>
      </w:pPr>
    </w:p>
    <w:p w:rsidR="00F42818" w:rsidRDefault="00F42818">
      <w:pPr>
        <w:pStyle w:val="ConsPlusNormal"/>
        <w:ind w:firstLine="540"/>
        <w:jc w:val="both"/>
      </w:pPr>
      <w:r>
        <w:t xml:space="preserve">S = </w:t>
      </w:r>
      <w:proofErr w:type="spellStart"/>
      <w:proofErr w:type="gramStart"/>
      <w:r>
        <w:t>V</w:t>
      </w:r>
      <w:proofErr w:type="gramEnd"/>
      <w:r>
        <w:t>ред_с</w:t>
      </w:r>
      <w:proofErr w:type="spellEnd"/>
      <w:r>
        <w:t xml:space="preserve"> + </w:t>
      </w:r>
      <w:proofErr w:type="spellStart"/>
      <w:r>
        <w:t>Vусл_л</w:t>
      </w:r>
      <w:proofErr w:type="spellEnd"/>
      <w:r>
        <w:t>,</w:t>
      </w:r>
    </w:p>
    <w:p w:rsidR="00F42818" w:rsidRDefault="00F42818">
      <w:pPr>
        <w:pStyle w:val="ConsPlusNormal"/>
        <w:jc w:val="both"/>
      </w:pPr>
    </w:p>
    <w:p w:rsidR="00F42818" w:rsidRDefault="00F42818">
      <w:pPr>
        <w:pStyle w:val="ConsPlusNormal"/>
        <w:ind w:firstLine="540"/>
        <w:jc w:val="both"/>
      </w:pPr>
      <w:r>
        <w:t>где:</w:t>
      </w:r>
    </w:p>
    <w:p w:rsidR="00F42818" w:rsidRDefault="00F42818">
      <w:pPr>
        <w:pStyle w:val="ConsPlusNormal"/>
        <w:spacing w:before="220"/>
        <w:ind w:firstLine="540"/>
        <w:jc w:val="both"/>
      </w:pPr>
      <w:proofErr w:type="spellStart"/>
      <w:r>
        <w:t>Vред_</w:t>
      </w:r>
      <w:proofErr w:type="gramStart"/>
      <w:r>
        <w:t>с</w:t>
      </w:r>
      <w:proofErr w:type="spellEnd"/>
      <w:proofErr w:type="gramEnd"/>
      <w:r>
        <w:t xml:space="preserve"> - стоимость услуг по обеспечению участия представителей Мурманской области, являющихся участниками команд Мурманской лиги КВН, в телевизионных, центральных и межрегиональных лигах КВН.</w:t>
      </w:r>
    </w:p>
    <w:p w:rsidR="00F42818" w:rsidRDefault="00F42818">
      <w:pPr>
        <w:pStyle w:val="ConsPlusNormal"/>
        <w:jc w:val="both"/>
      </w:pPr>
    </w:p>
    <w:p w:rsidR="00F42818" w:rsidRDefault="00F42818">
      <w:pPr>
        <w:pStyle w:val="ConsPlusNormal"/>
        <w:ind w:firstLine="540"/>
        <w:jc w:val="both"/>
      </w:pPr>
      <w:proofErr w:type="spellStart"/>
      <w:proofErr w:type="gramStart"/>
      <w:r>
        <w:t>V</w:t>
      </w:r>
      <w:proofErr w:type="gramEnd"/>
      <w:r>
        <w:t>ред_с</w:t>
      </w:r>
      <w:proofErr w:type="spellEnd"/>
      <w:r>
        <w:t xml:space="preserve"> = </w:t>
      </w:r>
      <w:proofErr w:type="spellStart"/>
      <w:r>
        <w:t>Uредсц</w:t>
      </w:r>
      <w:proofErr w:type="spellEnd"/>
      <w:r>
        <w:t xml:space="preserve"> + </w:t>
      </w:r>
      <w:proofErr w:type="spellStart"/>
      <w:r>
        <w:t>Uрекв</w:t>
      </w:r>
      <w:proofErr w:type="spellEnd"/>
      <w:r>
        <w:t xml:space="preserve"> + </w:t>
      </w:r>
      <w:proofErr w:type="spellStart"/>
      <w:r>
        <w:t>Uзв</w:t>
      </w:r>
      <w:proofErr w:type="spellEnd"/>
      <w:r>
        <w:t xml:space="preserve"> + </w:t>
      </w:r>
      <w:proofErr w:type="spellStart"/>
      <w:r>
        <w:t>Uвид</w:t>
      </w:r>
      <w:proofErr w:type="spellEnd"/>
      <w:r>
        <w:t xml:space="preserve"> + </w:t>
      </w:r>
      <w:proofErr w:type="spellStart"/>
      <w:r>
        <w:t>Uмк</w:t>
      </w:r>
      <w:proofErr w:type="spellEnd"/>
      <w:r>
        <w:t xml:space="preserve"> + </w:t>
      </w:r>
      <w:proofErr w:type="spellStart"/>
      <w:r>
        <w:t>Uфон</w:t>
      </w:r>
      <w:proofErr w:type="spellEnd"/>
      <w:r>
        <w:t>,</w:t>
      </w:r>
    </w:p>
    <w:p w:rsidR="00F42818" w:rsidRDefault="00F42818">
      <w:pPr>
        <w:pStyle w:val="ConsPlusNormal"/>
        <w:jc w:val="both"/>
      </w:pPr>
    </w:p>
    <w:p w:rsidR="00F42818" w:rsidRDefault="00F42818">
      <w:pPr>
        <w:pStyle w:val="ConsPlusNormal"/>
        <w:ind w:firstLine="540"/>
        <w:jc w:val="both"/>
      </w:pPr>
      <w:r>
        <w:t>где:</w:t>
      </w:r>
    </w:p>
    <w:p w:rsidR="00F42818" w:rsidRDefault="00F42818">
      <w:pPr>
        <w:pStyle w:val="ConsPlusNormal"/>
        <w:spacing w:before="220"/>
        <w:ind w:firstLine="540"/>
        <w:jc w:val="both"/>
      </w:pPr>
      <w:proofErr w:type="spellStart"/>
      <w:proofErr w:type="gramStart"/>
      <w:r>
        <w:t>U</w:t>
      </w:r>
      <w:proofErr w:type="gramEnd"/>
      <w:r>
        <w:t>редсц</w:t>
      </w:r>
      <w:proofErr w:type="spellEnd"/>
      <w:r>
        <w:t xml:space="preserve"> - услуги по написанию и редактированию сценария;</w:t>
      </w:r>
    </w:p>
    <w:p w:rsidR="00F42818" w:rsidRDefault="00F42818">
      <w:pPr>
        <w:pStyle w:val="ConsPlusNormal"/>
        <w:spacing w:before="220"/>
        <w:ind w:firstLine="540"/>
        <w:jc w:val="both"/>
      </w:pPr>
      <w:proofErr w:type="spellStart"/>
      <w:proofErr w:type="gramStart"/>
      <w:r>
        <w:t>U</w:t>
      </w:r>
      <w:proofErr w:type="gramEnd"/>
      <w:r>
        <w:t>рекв</w:t>
      </w:r>
      <w:proofErr w:type="spellEnd"/>
      <w:r>
        <w:t xml:space="preserve"> - услуги реквизитора;</w:t>
      </w:r>
    </w:p>
    <w:p w:rsidR="00F42818" w:rsidRDefault="00F42818">
      <w:pPr>
        <w:pStyle w:val="ConsPlusNormal"/>
        <w:spacing w:before="220"/>
        <w:ind w:firstLine="540"/>
        <w:jc w:val="both"/>
      </w:pPr>
      <w:proofErr w:type="spellStart"/>
      <w:proofErr w:type="gramStart"/>
      <w:r>
        <w:t>U</w:t>
      </w:r>
      <w:proofErr w:type="gramEnd"/>
      <w:r>
        <w:t>зв</w:t>
      </w:r>
      <w:proofErr w:type="spellEnd"/>
      <w:r>
        <w:t xml:space="preserve"> - услуги звукорежиссера;</w:t>
      </w:r>
    </w:p>
    <w:p w:rsidR="00F42818" w:rsidRDefault="00F42818">
      <w:pPr>
        <w:pStyle w:val="ConsPlusNormal"/>
        <w:spacing w:before="220"/>
        <w:ind w:firstLine="540"/>
        <w:jc w:val="both"/>
      </w:pPr>
      <w:proofErr w:type="spellStart"/>
      <w:proofErr w:type="gramStart"/>
      <w:r>
        <w:t>U</w:t>
      </w:r>
      <w:proofErr w:type="gramEnd"/>
      <w:r>
        <w:t>вид</w:t>
      </w:r>
      <w:proofErr w:type="spellEnd"/>
      <w:r>
        <w:t xml:space="preserve"> - услуги по съемке и монтажу видеороликов;</w:t>
      </w:r>
    </w:p>
    <w:p w:rsidR="00F42818" w:rsidRDefault="00F42818">
      <w:pPr>
        <w:pStyle w:val="ConsPlusNormal"/>
        <w:spacing w:before="220"/>
        <w:ind w:firstLine="540"/>
        <w:jc w:val="both"/>
      </w:pPr>
      <w:proofErr w:type="spellStart"/>
      <w:proofErr w:type="gramStart"/>
      <w:r>
        <w:t>U</w:t>
      </w:r>
      <w:proofErr w:type="gramEnd"/>
      <w:r>
        <w:t>мк</w:t>
      </w:r>
      <w:proofErr w:type="spellEnd"/>
      <w:r>
        <w:t xml:space="preserve"> - услуги по проведению мастер-классов;</w:t>
      </w:r>
    </w:p>
    <w:p w:rsidR="00F42818" w:rsidRDefault="00F42818">
      <w:pPr>
        <w:pStyle w:val="ConsPlusNormal"/>
        <w:spacing w:before="220"/>
        <w:ind w:firstLine="540"/>
        <w:jc w:val="both"/>
      </w:pPr>
      <w:proofErr w:type="spellStart"/>
      <w:proofErr w:type="gramStart"/>
      <w:r>
        <w:t>U</w:t>
      </w:r>
      <w:proofErr w:type="gramEnd"/>
      <w:r>
        <w:t>фон</w:t>
      </w:r>
      <w:proofErr w:type="spellEnd"/>
      <w:r>
        <w:t xml:space="preserve"> - услуги по изготовлению фонограмм.</w:t>
      </w:r>
    </w:p>
    <w:p w:rsidR="00F42818" w:rsidRDefault="00F42818">
      <w:pPr>
        <w:pStyle w:val="ConsPlusNormal"/>
        <w:spacing w:before="220"/>
        <w:ind w:firstLine="540"/>
        <w:jc w:val="both"/>
      </w:pPr>
      <w:r>
        <w:t>Услуги по написанию и редактированию сценариев, реквизитора, звукорежиссера, по съемке и монтажу видеороликов, по проведению мастер-классов, по изготовлению фонограмм возмещаются по фактическим расходам, но не выше норм, приведенных в приложении к Правилам.</w:t>
      </w:r>
    </w:p>
    <w:p w:rsidR="00F42818" w:rsidRDefault="00F42818">
      <w:pPr>
        <w:pStyle w:val="ConsPlusNormal"/>
        <w:spacing w:before="220"/>
        <w:ind w:firstLine="540"/>
        <w:jc w:val="both"/>
      </w:pPr>
      <w:proofErr w:type="spellStart"/>
      <w:r>
        <w:t>Vусл_л</w:t>
      </w:r>
      <w:proofErr w:type="spellEnd"/>
      <w:r>
        <w:t xml:space="preserve"> - стоимость услуг по организации и проведению мероприятий по поддержке </w:t>
      </w:r>
      <w:proofErr w:type="gramStart"/>
      <w:r>
        <w:t>КВН-движения</w:t>
      </w:r>
      <w:proofErr w:type="gramEnd"/>
      <w:r>
        <w:t xml:space="preserve"> в Мурманской области.</w:t>
      </w:r>
    </w:p>
    <w:p w:rsidR="00F42818" w:rsidRDefault="00F42818">
      <w:pPr>
        <w:pStyle w:val="ConsPlusNormal"/>
        <w:jc w:val="both"/>
      </w:pPr>
    </w:p>
    <w:p w:rsidR="00F42818" w:rsidRDefault="00F42818">
      <w:pPr>
        <w:pStyle w:val="ConsPlusNormal"/>
        <w:ind w:firstLine="540"/>
        <w:jc w:val="both"/>
      </w:pPr>
      <w:proofErr w:type="spellStart"/>
      <w:proofErr w:type="gramStart"/>
      <w:r>
        <w:t>V</w:t>
      </w:r>
      <w:proofErr w:type="gramEnd"/>
      <w:r>
        <w:t>усл_л</w:t>
      </w:r>
      <w:proofErr w:type="spellEnd"/>
      <w:r>
        <w:t xml:space="preserve"> = </w:t>
      </w:r>
      <w:proofErr w:type="spellStart"/>
      <w:r>
        <w:t>Lпр</w:t>
      </w:r>
      <w:proofErr w:type="spellEnd"/>
      <w:r>
        <w:t xml:space="preserve"> + </w:t>
      </w:r>
      <w:proofErr w:type="spellStart"/>
      <w:r>
        <w:t>Lпрспик</w:t>
      </w:r>
      <w:proofErr w:type="spellEnd"/>
      <w:r>
        <w:t xml:space="preserve"> + </w:t>
      </w:r>
      <w:proofErr w:type="spellStart"/>
      <w:r>
        <w:t>Lинфр</w:t>
      </w:r>
      <w:proofErr w:type="spellEnd"/>
      <w:r>
        <w:t xml:space="preserve"> + </w:t>
      </w:r>
      <w:proofErr w:type="spellStart"/>
      <w:r>
        <w:t>Lзвук</w:t>
      </w:r>
      <w:proofErr w:type="spellEnd"/>
      <w:r>
        <w:t xml:space="preserve"> + </w:t>
      </w:r>
      <w:proofErr w:type="spellStart"/>
      <w:r>
        <w:t>Lразд</w:t>
      </w:r>
      <w:proofErr w:type="spellEnd"/>
      <w:r>
        <w:t xml:space="preserve"> + </w:t>
      </w:r>
      <w:proofErr w:type="spellStart"/>
      <w:r>
        <w:t>Lпит</w:t>
      </w:r>
      <w:proofErr w:type="spellEnd"/>
      <w:r>
        <w:t>,</w:t>
      </w:r>
    </w:p>
    <w:p w:rsidR="00F42818" w:rsidRDefault="00F42818">
      <w:pPr>
        <w:pStyle w:val="ConsPlusNormal"/>
        <w:jc w:val="both"/>
      </w:pPr>
    </w:p>
    <w:p w:rsidR="00F42818" w:rsidRDefault="00F42818">
      <w:pPr>
        <w:pStyle w:val="ConsPlusNormal"/>
        <w:ind w:firstLine="540"/>
        <w:jc w:val="both"/>
      </w:pPr>
      <w:r>
        <w:t>где:</w:t>
      </w:r>
    </w:p>
    <w:p w:rsidR="00F42818" w:rsidRDefault="00F42818">
      <w:pPr>
        <w:pStyle w:val="ConsPlusNormal"/>
        <w:spacing w:before="220"/>
        <w:ind w:firstLine="540"/>
        <w:jc w:val="both"/>
      </w:pPr>
      <w:proofErr w:type="spellStart"/>
      <w:proofErr w:type="gramStart"/>
      <w:r>
        <w:t>L</w:t>
      </w:r>
      <w:proofErr w:type="gramEnd"/>
      <w:r>
        <w:t>пр</w:t>
      </w:r>
      <w:proofErr w:type="spellEnd"/>
      <w:r>
        <w:t xml:space="preserve"> - услуги по проживанию, питанию участников мероприятий;</w:t>
      </w:r>
    </w:p>
    <w:p w:rsidR="00F42818" w:rsidRDefault="00F42818">
      <w:pPr>
        <w:pStyle w:val="ConsPlusNormal"/>
        <w:spacing w:before="220"/>
        <w:ind w:firstLine="540"/>
        <w:jc w:val="both"/>
      </w:pPr>
      <w:proofErr w:type="spellStart"/>
      <w:proofErr w:type="gramStart"/>
      <w:r>
        <w:t>L</w:t>
      </w:r>
      <w:proofErr w:type="gramEnd"/>
      <w:r>
        <w:t>прспик</w:t>
      </w:r>
      <w:proofErr w:type="spellEnd"/>
      <w:r>
        <w:t xml:space="preserve"> - услуги по перелету, проживанию, питанию приглашенных спикеров;</w:t>
      </w:r>
    </w:p>
    <w:p w:rsidR="00F42818" w:rsidRDefault="00F42818">
      <w:pPr>
        <w:pStyle w:val="ConsPlusNormal"/>
        <w:spacing w:before="220"/>
        <w:ind w:firstLine="540"/>
        <w:jc w:val="both"/>
      </w:pPr>
      <w:proofErr w:type="spellStart"/>
      <w:proofErr w:type="gramStart"/>
      <w:r>
        <w:t>L</w:t>
      </w:r>
      <w:proofErr w:type="gramEnd"/>
      <w:r>
        <w:t>инфр</w:t>
      </w:r>
      <w:proofErr w:type="spellEnd"/>
      <w:r>
        <w:t xml:space="preserve"> - услуги по подготовке помещений для проведения мероприятий;</w:t>
      </w:r>
    </w:p>
    <w:p w:rsidR="00F42818" w:rsidRDefault="00F42818">
      <w:pPr>
        <w:pStyle w:val="ConsPlusNormal"/>
        <w:spacing w:before="220"/>
        <w:ind w:firstLine="540"/>
        <w:jc w:val="both"/>
      </w:pPr>
      <w:proofErr w:type="spellStart"/>
      <w:proofErr w:type="gramStart"/>
      <w:r>
        <w:lastRenderedPageBreak/>
        <w:t>L</w:t>
      </w:r>
      <w:proofErr w:type="gramEnd"/>
      <w:r>
        <w:t>звук</w:t>
      </w:r>
      <w:proofErr w:type="spellEnd"/>
      <w:r>
        <w:t xml:space="preserve"> - услуги по проведению мастер-классов;</w:t>
      </w:r>
    </w:p>
    <w:p w:rsidR="00F42818" w:rsidRDefault="00F42818">
      <w:pPr>
        <w:pStyle w:val="ConsPlusNormal"/>
        <w:spacing w:before="220"/>
        <w:ind w:firstLine="540"/>
        <w:jc w:val="both"/>
      </w:pPr>
      <w:proofErr w:type="spellStart"/>
      <w:proofErr w:type="gramStart"/>
      <w:r>
        <w:t>L</w:t>
      </w:r>
      <w:proofErr w:type="gramEnd"/>
      <w:r>
        <w:t>разд</w:t>
      </w:r>
      <w:proofErr w:type="spellEnd"/>
      <w:r>
        <w:t xml:space="preserve"> - услуги по изготовлению раздаточного материала, сувенирной и наградной продукции.</w:t>
      </w:r>
    </w:p>
    <w:p w:rsidR="00F42818" w:rsidRDefault="00F42818">
      <w:pPr>
        <w:pStyle w:val="ConsPlusNormal"/>
        <w:spacing w:before="220"/>
        <w:ind w:firstLine="540"/>
        <w:jc w:val="both"/>
      </w:pPr>
      <w:r>
        <w:t xml:space="preserve">Услуги по проживанию, питанию участников мероприятий, по перелету, проживанию, питанию приглашенных спикеров, по изготовлению раздаточного материала, сувенирной и наградной продукции возмещаются по фактическим расходам, но не выше норм, утвержденных </w:t>
      </w:r>
      <w:hyperlink r:id="rId7">
        <w:r>
          <w:rPr>
            <w:color w:val="0000FF"/>
          </w:rPr>
          <w:t>постановлением</w:t>
        </w:r>
      </w:hyperlink>
      <w:r>
        <w:t xml:space="preserve"> Правительства Мурманской области от 09.03.2023 N 180-ПП.</w:t>
      </w:r>
    </w:p>
    <w:p w:rsidR="00F42818" w:rsidRDefault="00F42818">
      <w:pPr>
        <w:pStyle w:val="ConsPlusNormal"/>
        <w:spacing w:before="220"/>
        <w:ind w:firstLine="540"/>
        <w:jc w:val="both"/>
      </w:pPr>
      <w:r>
        <w:t xml:space="preserve">Услуги по проведению мастер-классов возмещаются по фактическим расходам, но не выше </w:t>
      </w:r>
      <w:hyperlink r:id="rId8">
        <w:r>
          <w:rPr>
            <w:color w:val="0000FF"/>
          </w:rPr>
          <w:t>норм</w:t>
        </w:r>
      </w:hyperlink>
      <w:r>
        <w:t>, приведенных в приложении к Правилам.</w:t>
      </w:r>
    </w:p>
    <w:p w:rsidR="00F42818" w:rsidRDefault="00F42818">
      <w:pPr>
        <w:pStyle w:val="ConsPlusNormal"/>
        <w:spacing w:before="220"/>
        <w:ind w:firstLine="540"/>
        <w:jc w:val="both"/>
      </w:pPr>
      <w:r>
        <w:t>Услуги по подготовке помещений для проведения мероприятий возмещаются по фактическим расходам.</w:t>
      </w:r>
    </w:p>
    <w:p w:rsidR="00F42818" w:rsidRDefault="00F42818">
      <w:pPr>
        <w:pStyle w:val="ConsPlusNormal"/>
        <w:spacing w:before="220"/>
        <w:ind w:firstLine="540"/>
        <w:jc w:val="both"/>
      </w:pPr>
      <w:r>
        <w:t>7. Иные межбюджетные трансферты носят целевой характер и не могут быть использованы на другие цели.</w:t>
      </w:r>
    </w:p>
    <w:p w:rsidR="00F42818" w:rsidRDefault="00F42818">
      <w:pPr>
        <w:pStyle w:val="ConsPlusNormal"/>
        <w:spacing w:before="220"/>
        <w:ind w:firstLine="540"/>
        <w:jc w:val="both"/>
      </w:pPr>
      <w:r>
        <w:t xml:space="preserve">8. Результатом предоставления иных межбюджетных трансфертов из областного бюджета бюджетам муниципальных образований Мурманской области является участие представителей Мурманской области, являющихся участниками команд Мурманской лиги КВН, в телевизионных, центральных и межрегиональных лигах КВН, а также проведение мероприятий по поддержке </w:t>
      </w:r>
      <w:proofErr w:type="gramStart"/>
      <w:r>
        <w:t>КВН-движения</w:t>
      </w:r>
      <w:proofErr w:type="gramEnd"/>
      <w:r>
        <w:t xml:space="preserve"> в Мурманской области.</w:t>
      </w:r>
    </w:p>
    <w:p w:rsidR="00F42818" w:rsidRDefault="00F42818">
      <w:pPr>
        <w:pStyle w:val="ConsPlusNormal"/>
        <w:spacing w:before="220"/>
        <w:ind w:firstLine="540"/>
        <w:jc w:val="both"/>
      </w:pPr>
      <w:r>
        <w:t>9. Учет операций, связанных с использованием иных межбюджетных трансфертов, осуществляется на лицевых счетах получателей средств муниципального образования, открытых в территориальном органе Федерального казначейства.</w:t>
      </w:r>
    </w:p>
    <w:p w:rsidR="00F42818" w:rsidRDefault="00F42818">
      <w:pPr>
        <w:pStyle w:val="ConsPlusNormal"/>
        <w:spacing w:before="220"/>
        <w:ind w:firstLine="540"/>
        <w:jc w:val="both"/>
      </w:pPr>
      <w:r>
        <w:t>10. Ответственность за недостоверность представляемых в Комитет информации и документов, предусмотренных настоящими Правилами, за нецелевое использование выделенных средств возлагается на орган местного самоуправления муниципального образования Мурманской области.</w:t>
      </w:r>
    </w:p>
    <w:p w:rsidR="00F42818" w:rsidRDefault="00F42818">
      <w:pPr>
        <w:pStyle w:val="ConsPlusNormal"/>
        <w:spacing w:before="220"/>
        <w:ind w:firstLine="540"/>
        <w:jc w:val="both"/>
      </w:pPr>
      <w:r>
        <w:t xml:space="preserve">11. </w:t>
      </w:r>
      <w:proofErr w:type="gramStart"/>
      <w:r>
        <w:t>В случае нарушения органом местного самоуправления муниципального образования Мурманской области целей, установленных при предоставлении иных межбюджетных трансфертов, к нему применяются бюджетные меры принуждения в соответствии с бюджетным законодательством Российской Федерации.</w:t>
      </w:r>
      <w:proofErr w:type="gramEnd"/>
    </w:p>
    <w:p w:rsidR="00F42818" w:rsidRDefault="00F42818">
      <w:pPr>
        <w:pStyle w:val="ConsPlusNormal"/>
        <w:spacing w:before="220"/>
        <w:ind w:firstLine="540"/>
        <w:jc w:val="both"/>
      </w:pPr>
      <w:r>
        <w:t xml:space="preserve">12. </w:t>
      </w:r>
      <w:proofErr w:type="gramStart"/>
      <w:r>
        <w:t>Контроль за</w:t>
      </w:r>
      <w:proofErr w:type="gramEnd"/>
      <w:r>
        <w:t xml:space="preserve"> соблюдением условий предоставления иных межбюджетных трансфертов осуществляется Комитетом и органами государственного финансового контроля Мурманской области.</w:t>
      </w:r>
    </w:p>
    <w:p w:rsidR="00F42818" w:rsidRDefault="00F42818">
      <w:pPr>
        <w:pStyle w:val="ConsPlusNormal"/>
        <w:jc w:val="both"/>
      </w:pPr>
    </w:p>
    <w:p w:rsidR="00F42818" w:rsidRDefault="00F42818">
      <w:pPr>
        <w:pStyle w:val="ConsPlusNormal"/>
        <w:jc w:val="both"/>
      </w:pPr>
    </w:p>
    <w:p w:rsidR="00F42818" w:rsidRDefault="00F42818">
      <w:pPr>
        <w:pStyle w:val="ConsPlusNormal"/>
      </w:pPr>
      <w:hyperlink r:id="rId9">
        <w:r>
          <w:rPr>
            <w:i/>
            <w:color w:val="0000FF"/>
          </w:rPr>
          <w:br/>
          <w:t>Постановление Правительства Мурманской области от 11.11.2020 N 793-ПП (ред. от 14.07.2023) "Об утверждении государственной программы Мурманской области "Государственное управление и гражданское общество" {</w:t>
        </w:r>
        <w:proofErr w:type="spellStart"/>
        <w:r>
          <w:rPr>
            <w:i/>
            <w:color w:val="0000FF"/>
          </w:rPr>
          <w:t>КонсультантПлюс</w:t>
        </w:r>
        <w:proofErr w:type="spellEnd"/>
        <w:r>
          <w:rPr>
            <w:i/>
            <w:color w:val="0000FF"/>
          </w:rPr>
          <w:t>}</w:t>
        </w:r>
      </w:hyperlink>
      <w:r>
        <w:br/>
      </w:r>
    </w:p>
    <w:p w:rsidR="00FB6831" w:rsidRDefault="00FB6831">
      <w:bookmarkStart w:id="1" w:name="_GoBack"/>
      <w:bookmarkEnd w:id="1"/>
    </w:p>
    <w:sectPr w:rsidR="00FB6831" w:rsidSect="002E4D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818"/>
    <w:rsid w:val="00F42818"/>
    <w:rsid w:val="00FB6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281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42818"/>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281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42818"/>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B40F220AA070F39BE9C0338E843F0878A8972C705107D947F97C598134DFF817743C107A332BBF68F9FA91B92758CF5B07320041E54686D6B410002EJ8H" TargetMode="External"/><Relationship Id="rId3" Type="http://schemas.openxmlformats.org/officeDocument/2006/relationships/settings" Target="settings.xml"/><Relationship Id="rId7" Type="http://schemas.openxmlformats.org/officeDocument/2006/relationships/hyperlink" Target="consultantplus://offline/ref=D8B40F220AA070F39BE9C0338E843F0878A8972C705101D14CFC7C598134DFF817743C10683373B368FDE791B5320E9E1D25J1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D8B40F220AA070F39BE9C0338E843F0878A8972C705107D947F97C598134DFF817743C107A332BBF6AF9F991B42758CF5B07320041E54686D6B410002EJ8H" TargetMode="External"/><Relationship Id="rId11" Type="http://schemas.openxmlformats.org/officeDocument/2006/relationships/theme" Target="theme/theme1.xml"/><Relationship Id="rId5" Type="http://schemas.openxmlformats.org/officeDocument/2006/relationships/hyperlink" Target="consultantplus://offline/ref=D8B40F220AA070F39BE9C0338E843F0878A8972C705100D046FD7C598134DFF817743C107A332BBF6AF9FA91BB2758CF5B07320041E54686D6B410002EJ8H"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D8B40F220AA070F39BE9C0338E843F0878A8972C705107D947F97C598134DFF817743C107A332BBF68F9FB97BE2758CF5B07320041E54686D6B410002EJ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1242</Words>
  <Characters>7081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Виноградова Е.М.</dc:creator>
  <cp:lastModifiedBy>Виноградова Е.М.</cp:lastModifiedBy>
  <cp:revision>1</cp:revision>
  <dcterms:created xsi:type="dcterms:W3CDTF">2023-08-24T07:09:00Z</dcterms:created>
  <dcterms:modified xsi:type="dcterms:W3CDTF">2023-08-24T07:12:00Z</dcterms:modified>
</cp:coreProperties>
</file>